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 vom 29. Mai 2026</w:t>
      </w:r>
    </w:p>
    <w:p>
      <w:r>
        <w:t>FR Kantonsgericht, 2026-05-29, FR</w:t>
      </w:r>
    </w:p>
    <w:p>
      <w:r>
        <w:rPr>
          <w:b/>
        </w:rPr>
        <w:t xml:space="preserve">Quelle: </w:t>
      </w:r>
      <w:r>
        <w:t>https://mcp.opencaselaw.ch/entscheid/fr_gerichte_102 2026 1</w:t>
      </w:r>
    </w:p>
    <w:p>
      <w:r>
        <w:t>FR: FR_GERICHTE 102 2026 1 du 29 mai 2026</w:t>
      </w:r>
    </w:p>
    <w:p>
      <w:r>
        <w:t>IT: FR_GERICHTE 102 2026 1 del 29 maggio 2026</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(art. 321 al. 2 CPC), délai que la recourante a respecté. La Cour statue sans débats (art. 327 al. 2 CPC). La cognition de la Cour d’appel est pleine et entière en droit ; s’agissant des faits, elle est limitée à leur constatation manifestement inexacte (art. 320 CPC). En application de l’art. 326 al. 1 CPC, les conclusions, allégations de faits et preuves nouvelles sont irrecevables.</w:t>
      </w:r>
    </w:p>
    <w:p>
      <w:r>
        <w:rPr>
          <w:b/>
        </w:rPr>
        <w:t>E. 1.2</w:t>
      </w:r>
    </w:p>
    <w:p>
      <w:r>
        <w:t>Aux termes de l’art. 321 al. 1 CPC, le recours doit être motivé, ce qui suppose de démontrer le caractère erroné de la motivation attaquée. Pour satisfaire à cette exigence, il ne suffit cependant pas de renvoyer aux moyens soulevés en première instance, ni de se livrer à des critiques toutes générales de la décision attaquée. La motivation du recourant doit être suffisamment explicite pour que l’instance de recours puisse la comprendre aisément, ce qui suppose une désignation précise des passages de la décision que le recourant attaque et des pièces du dossier sur lesquelles repose sa critique (ATF 147 III 176 consid. 4.2.1).</w:t>
      </w:r>
    </w:p>
    <w:p>
      <w:r>
        <w:t>Tribunal cantonal TC Page 3 de 5 En l’occurrence, le mémoire de la recourante s’étale longuement sur la présentation de l’état de fait sans toutefois démontrer en quoi les faits établis par la première juge l’auraient été de manière manifestement inexacte si bien qu’il convient de ne pas s’écarter de l’état de fait tel qu’il ressort de la décision attaquée. Quant à la critique de la solution retenue dans la décision attaquée, celle-ci, bien que relativement sommaire, répond aux exigences de motivation attendues d’une partie non représentée par un avocat en tant qu’on comprend quels sont les passages de la décision qui sont attaqués et que la recourante indique sur quelles pièces elle fonde sa critique. Compte tenu de ce qui précède, le recours est recevable.</w:t>
      </w:r>
    </w:p>
    <w:p>
      <w:r>
        <w:rPr>
          <w:b/>
        </w:rPr>
        <w:t>E. 1.3</w:t>
      </w:r>
    </w:p>
    <w:p>
      <w:r>
        <w:t>La valeur litigieuse se monte à CHF 1'737'061.05, de sorte que le recours en matière civile est ouvert contre le présent arrêt (art. 74 al. 1 let. b et 113 ss LTF).</w:t>
      </w:r>
    </w:p>
    <w:p>
      <w:r>
        <w:rPr>
          <w:b/>
        </w:rPr>
        <w:t>E. 2</w:t>
      </w:r>
    </w:p>
    <w:p>
      <w:r>
        <w:t>La première juge a estimé que la recourante n'était au bénéfice ni d'un titre de mainlevée provisoire ni d'un titre de mainlevée définitive. Les seules pièces qui pouvaient être apparentées à un titre de mainlevée, soit un arrêt du Tribunal administratif fédéral et un autre du Tribunal fédéral, avaient été produites tardivement et leur contenu ne remplissait de toute manière pas les exigences d'un titre de mainlevée. En conséquence, l'opposition faite par l'intimé au commandement de payer no ccc ne pouvait être levée. La recourante estime être en possession d'un titre de mainlevée provisoire à l'encontre de l'intimé. Elle s'appuie sur un arrêt du Tribunal administratif fédéral et un autre du Tribunal fédéral qui, selon elle, constatent que l'intimé a mal exécuté le contrat de mandat qui le liait à la recourante. Un tel constat remplacerait ainsi une reconnaissance de dette de l'intimé et il se justifierait d'accorder la mainlevée provisoire de l'opposition sur cette base.</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d'où ressort sa volonté de payer au poursuivant, sans réserve ni condition, une somme d'argent déterminée, ou aisément déterminable, et exigible (ATF 148 III 145 consid. 4.1.1 et les références citées). Force est de constater que la recourante ne produit aucun document signé par l'intimé duquel il ressortirait sa volonté de payer à la recourante une somme d'argent déterminée ou déterminable et exigible. En particulier, un arrêt d'un tribunal ne constitue manifestement pas un tel document. En conséquence, la recourante ne peut se prévaloir d'aucun titre de mainlevée provisoire à l'appui de sa demande.</w:t>
      </w:r>
    </w:p>
    <w:p>
      <w:r>
        <w:rPr>
          <w:b/>
        </w:rPr>
        <w:t>E. 2.2</w:t>
      </w:r>
    </w:p>
    <w:p>
      <w:r>
        <w:t>Selon l'art. 80 al. 1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(ATF 142 III 78 consid. 3.1; arrêt TF 5D_171/2016 du 16 février 2017 consid. 5). En l'occurrence, les seuls jugements produits par la recourante sont un arrêt du Tribunal administratif fédéral du 16 mai 2022 (procédure A-5106/2020) ainsi qu'un autre du Tribunal fédéral du 22 mars 2023 (procédure 2C_503/2022) dans des affaires où elle était opposée à l'Office fédéral de la</w:t>
      </w:r>
    </w:p>
    <w:p>
      <w:r>
        <w:t>Tribunal cantonal TC Page 4 de 5 douane et de la sécurité aux frontières. Outre le fait que les deux arrêts rejettent le recours de la recourante dans la mesure de sa recevabilité, force est de constater que l'intimé n'était pas partie à ces procédures et que les arrêts ne le condamnent pas à verser une somme d'argent à la recourante, si bien qu'elle n'est pas non plus au bénéfice d'un titre de mainlevée définitive. De plus, il ressort de la décision attaquée que ces documents ont, de toute manière, été produits tardivement dans le cadre de la procédure de première instance, ce que la recourante ne conteste pas.</w:t>
      </w:r>
    </w:p>
    <w:p>
      <w:r>
        <w:rPr>
          <w:b/>
        </w:rPr>
        <w:t>E. 2.3</w:t>
      </w:r>
    </w:p>
    <w:p>
      <w:r>
        <w:t>A toutes fins utiles, la Cour de céans relève que le contentieux de la mainlevée de l'opposition (art. 80 ss LP) n'a pas pour but de constater la réalité de la créance en poursuite, mais l'existence d'un titre exécutoire, le juge de la mainlevée ne se prononçant que sur la force probante du titre produit (ATF 145 III 160 consid. 5.1). Faute de reconnaissance de dette, c'est par le biais d'une procédure ordinaire devant le juge du fond que la recourante doit faire établir son éventuelle créance à l'égard de l'intimé.</w:t>
      </w:r>
    </w:p>
    <w:p>
      <w:r>
        <w:rPr>
          <w:b/>
        </w:rPr>
        <w:t>E. 2.4</w:t>
      </w:r>
    </w:p>
    <w:p>
      <w:r>
        <w:t>Ainsi, la recourante ne disposant d'aucun titre de mainlevée, c'est à juste titre que la Présidente du tribunal a refusé de lever l'opposition formée par B.________ au commandement de payer no ccc de l'Office des poursuites de la Broye. Le recours sera par conséquent rejeté.</w:t>
      </w:r>
    </w:p>
    <w:p>
      <w:r>
        <w:rPr>
          <w:b/>
        </w:rPr>
        <w:t>E. 3</w:t>
      </w:r>
    </w:p>
    <w:p>
      <w:r>
        <w:t>La recourante succombe et doit donc supporter les frais judiciaires (art. 106 al. 1 CPC), fixés à CHF 2000.- (art. 48 al. 1 et 68 al. 1 de l'ordonnance du 23 septembre 1996 sur les émoluments perçus en application de la loi fédérale sur la poursuite pour dettes et la faillite [OELP; RS 281.35]). Ils seront prélevés sur l'avance de frais de même montant versées en plusieurs acomptes par la recourante entre le 14 février 2026 et le 3 mai 2026. Il ne sera pas alloué de dépens à l'intimé qui n'a pas été invité à répondre au recours (art. 322 al. 1 CPC). (dispositif en page suivante)</w:t>
      </w:r>
    </w:p>
    <w:p>
      <w:r>
        <w:t>Tribunal cantonal TC Page 5 de 5 la Cour arrête : I. Le recours est rejeté. II. Les frais judiciaires de recours, fixés à CHF 2'000.-, sont mis à la charge de A.________ SA. Ils seront prélevés sur l'avance de frais du même montant déjà versée.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mai 2026/mme/dbe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